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7DE9" w:rsidRPr="0076297C" w:rsidRDefault="00507DE9" w:rsidP="00074C2E">
      <w:pPr>
        <w:spacing w:after="0" w:line="240" w:lineRule="auto"/>
        <w:ind w:right="-1"/>
        <w:jc w:val="both"/>
        <w:rPr>
          <w:rFonts w:ascii="Comic Sans MS" w:eastAsia="Times New Roman" w:hAnsi="Comic Sans MS" w:cs="Arial"/>
          <w:iCs/>
          <w:color w:val="0000FF"/>
          <w:sz w:val="16"/>
          <w:szCs w:val="16"/>
          <w:lang w:eastAsia="fr-FR"/>
        </w:rPr>
      </w:pPr>
    </w:p>
    <w:p w:rsidR="00074C2E" w:rsidRPr="0076297C" w:rsidRDefault="00074C2E" w:rsidP="00074C2E">
      <w:pPr>
        <w:spacing w:after="0" w:line="240" w:lineRule="auto"/>
        <w:ind w:right="282"/>
        <w:jc w:val="both"/>
        <w:rPr>
          <w:rFonts w:ascii="Comic Sans MS" w:eastAsia="Times New Roman" w:hAnsi="Comic Sans MS" w:cs="Arial"/>
          <w:b/>
          <w:color w:val="000000"/>
          <w:sz w:val="16"/>
          <w:szCs w:val="16"/>
          <w:u w:val="single"/>
          <w:lang w:eastAsia="fr-FR"/>
        </w:rPr>
      </w:pPr>
      <w:r w:rsidRPr="0076297C">
        <w:rPr>
          <w:rFonts w:ascii="Comic Sans MS" w:eastAsia="Times New Roman" w:hAnsi="Comic Sans MS" w:cs="Arial"/>
          <w:b/>
          <w:color w:val="000000"/>
          <w:sz w:val="16"/>
          <w:szCs w:val="16"/>
          <w:u w:val="single"/>
          <w:lang w:eastAsia="fr-FR"/>
        </w:rPr>
        <w:t xml:space="preserve">Question N° : </w:t>
      </w:r>
      <w:r w:rsidRPr="0076297C">
        <w:rPr>
          <w:rFonts w:ascii="Comic Sans MS" w:eastAsia="Times New Roman" w:hAnsi="Comic Sans MS" w:cs="Arial"/>
          <w:bCs/>
          <w:color w:val="000000"/>
          <w:sz w:val="16"/>
          <w:szCs w:val="16"/>
          <w:u w:val="single"/>
          <w:lang w:eastAsia="fr-FR"/>
        </w:rPr>
        <w:t>« Modèle de Haldane » (3 points)</w:t>
      </w:r>
    </w:p>
    <w:p w:rsidR="007A6D22" w:rsidRPr="0076297C" w:rsidRDefault="007A6D22" w:rsidP="00074C2E">
      <w:pPr>
        <w:spacing w:after="0" w:line="240" w:lineRule="auto"/>
        <w:ind w:left="284" w:right="282"/>
        <w:jc w:val="both"/>
        <w:rPr>
          <w:rFonts w:ascii="Comic Sans MS" w:eastAsia="Times New Roman" w:hAnsi="Comic Sans MS" w:cs="Arial"/>
          <w:bCs/>
          <w:color w:val="000000"/>
          <w:sz w:val="16"/>
          <w:szCs w:val="16"/>
          <w:lang w:eastAsia="fr-FR"/>
        </w:rPr>
      </w:pPr>
    </w:p>
    <w:p w:rsidR="00074C2E" w:rsidRPr="0076297C" w:rsidRDefault="00074C2E" w:rsidP="00074C2E">
      <w:pPr>
        <w:spacing w:after="0" w:line="240" w:lineRule="auto"/>
        <w:ind w:left="284" w:right="282"/>
        <w:jc w:val="both"/>
        <w:rPr>
          <w:rFonts w:ascii="Comic Sans MS" w:eastAsia="Times New Roman" w:hAnsi="Comic Sans MS" w:cs="Arial"/>
          <w:bCs/>
          <w:color w:val="000000"/>
          <w:sz w:val="16"/>
          <w:szCs w:val="16"/>
          <w:lang w:eastAsia="fr-FR"/>
        </w:rPr>
      </w:pPr>
      <w:r w:rsidRPr="0076297C">
        <w:rPr>
          <w:rFonts w:ascii="Comic Sans MS" w:eastAsia="Times New Roman" w:hAnsi="Comic Sans MS" w:cs="Arial"/>
          <w:bCs/>
          <w:color w:val="000000"/>
          <w:sz w:val="16"/>
          <w:szCs w:val="16"/>
          <w:lang w:eastAsia="fr-FR"/>
        </w:rPr>
        <w:t>Voici trois hypothèses concernant les phénomènes de saturations et désaturations :</w:t>
      </w:r>
    </w:p>
    <w:p w:rsidR="00074C2E" w:rsidRPr="0076297C" w:rsidRDefault="00074C2E" w:rsidP="00074C2E">
      <w:pPr>
        <w:numPr>
          <w:ilvl w:val="0"/>
          <w:numId w:val="1"/>
        </w:numPr>
        <w:spacing w:after="0" w:line="240" w:lineRule="auto"/>
        <w:ind w:right="282"/>
        <w:jc w:val="both"/>
        <w:rPr>
          <w:rFonts w:ascii="Comic Sans MS" w:eastAsia="Times New Roman" w:hAnsi="Comic Sans MS" w:cs="Arial"/>
          <w:bCs/>
          <w:color w:val="000000"/>
          <w:sz w:val="16"/>
          <w:szCs w:val="16"/>
          <w:lang w:eastAsia="fr-FR"/>
        </w:rPr>
      </w:pPr>
      <w:r w:rsidRPr="0076297C">
        <w:rPr>
          <w:rFonts w:ascii="Comic Sans MS" w:eastAsia="Times New Roman" w:hAnsi="Comic Sans MS" w:cs="Arial"/>
          <w:bCs/>
          <w:color w:val="000000"/>
          <w:sz w:val="16"/>
          <w:szCs w:val="16"/>
          <w:lang w:eastAsia="fr-FR"/>
        </w:rPr>
        <w:t>La charge et la décharge en azote se font à la même vitesse</w:t>
      </w:r>
    </w:p>
    <w:p w:rsidR="00074C2E" w:rsidRPr="0076297C" w:rsidRDefault="00074C2E" w:rsidP="00074C2E">
      <w:pPr>
        <w:numPr>
          <w:ilvl w:val="0"/>
          <w:numId w:val="1"/>
        </w:numPr>
        <w:spacing w:after="0" w:line="240" w:lineRule="auto"/>
        <w:ind w:right="282"/>
        <w:jc w:val="both"/>
        <w:rPr>
          <w:rFonts w:ascii="Comic Sans MS" w:eastAsia="Times New Roman" w:hAnsi="Comic Sans MS" w:cs="Arial"/>
          <w:bCs/>
          <w:color w:val="000000"/>
          <w:sz w:val="16"/>
          <w:szCs w:val="16"/>
          <w:lang w:eastAsia="fr-FR"/>
        </w:rPr>
      </w:pPr>
      <w:r w:rsidRPr="0076297C">
        <w:rPr>
          <w:rFonts w:ascii="Comic Sans MS" w:eastAsia="Times New Roman" w:hAnsi="Comic Sans MS" w:cs="Arial"/>
          <w:bCs/>
          <w:color w:val="000000"/>
          <w:sz w:val="16"/>
          <w:szCs w:val="16"/>
          <w:lang w:eastAsia="fr-FR"/>
        </w:rPr>
        <w:t>Toute la quantité d’azote se trouve sous forme dissoute</w:t>
      </w:r>
    </w:p>
    <w:p w:rsidR="00074C2E" w:rsidRPr="0076297C" w:rsidRDefault="00074C2E" w:rsidP="00074C2E">
      <w:pPr>
        <w:numPr>
          <w:ilvl w:val="0"/>
          <w:numId w:val="1"/>
        </w:numPr>
        <w:spacing w:after="0" w:line="240" w:lineRule="auto"/>
        <w:ind w:right="282"/>
        <w:jc w:val="both"/>
        <w:rPr>
          <w:rFonts w:ascii="Comic Sans MS" w:eastAsia="Times New Roman" w:hAnsi="Comic Sans MS" w:cs="Arial"/>
          <w:bCs/>
          <w:color w:val="000000"/>
          <w:sz w:val="16"/>
          <w:szCs w:val="16"/>
          <w:lang w:eastAsia="fr-FR"/>
        </w:rPr>
      </w:pPr>
      <w:r w:rsidRPr="0076297C">
        <w:rPr>
          <w:rFonts w:ascii="Comic Sans MS" w:eastAsia="Times New Roman" w:hAnsi="Comic Sans MS" w:cs="Arial"/>
          <w:bCs/>
          <w:color w:val="000000"/>
          <w:sz w:val="16"/>
          <w:szCs w:val="16"/>
          <w:lang w:eastAsia="fr-FR"/>
        </w:rPr>
        <w:t>Une décompression contrôlée se fait sans l’apparition de bulles.</w:t>
      </w:r>
    </w:p>
    <w:p w:rsidR="00074C2E" w:rsidRPr="0076297C" w:rsidRDefault="00074C2E" w:rsidP="00074C2E">
      <w:pPr>
        <w:spacing w:after="0" w:line="240" w:lineRule="auto"/>
        <w:ind w:right="282"/>
        <w:jc w:val="both"/>
        <w:rPr>
          <w:rFonts w:ascii="Comic Sans MS" w:eastAsia="Times New Roman" w:hAnsi="Comic Sans MS" w:cs="Arial"/>
          <w:bCs/>
          <w:color w:val="000000"/>
          <w:sz w:val="16"/>
          <w:szCs w:val="16"/>
          <w:lang w:eastAsia="fr-FR"/>
        </w:rPr>
      </w:pPr>
      <w:r w:rsidRPr="0076297C">
        <w:rPr>
          <w:rFonts w:ascii="Comic Sans MS" w:eastAsia="Times New Roman" w:hAnsi="Comic Sans MS" w:cs="Arial"/>
          <w:bCs/>
          <w:color w:val="000000"/>
          <w:sz w:val="16"/>
          <w:szCs w:val="16"/>
          <w:lang w:eastAsia="fr-FR"/>
        </w:rPr>
        <w:t>En vous basant sur le modèle de Haldane et sur les évolutions apportées à ce modèle au cours du temps, expliquer en quoi ces trois hypothèses ne sont pas justes.</w:t>
      </w:r>
    </w:p>
    <w:p w:rsidR="00074C2E" w:rsidRPr="0076297C" w:rsidRDefault="00074C2E" w:rsidP="00074C2E">
      <w:pPr>
        <w:spacing w:after="0" w:line="240" w:lineRule="auto"/>
        <w:ind w:right="282"/>
        <w:jc w:val="both"/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</w:pPr>
    </w:p>
    <w:p w:rsidR="00074C2E" w:rsidRPr="0076297C" w:rsidRDefault="00074C2E" w:rsidP="00074C2E">
      <w:pPr>
        <w:spacing w:after="0" w:line="240" w:lineRule="auto"/>
        <w:ind w:right="282"/>
        <w:jc w:val="both"/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</w:pPr>
      <w:r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- La charge et la décharge en azote repose sur la notion de gradient de pression parcouru selon un découpage du temps en période. La moitié du gradient étant parcouru </w:t>
      </w:r>
      <w:r w:rsidR="000F5591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en une </w:t>
      </w:r>
      <w:r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période, cela signifie qu’il restera toujours une moitié à parcourir, quel que soit le nombre de période utilisé. </w:t>
      </w:r>
    </w:p>
    <w:p w:rsidR="00074C2E" w:rsidRPr="0076297C" w:rsidRDefault="00074C2E" w:rsidP="00074C2E">
      <w:pPr>
        <w:spacing w:after="0" w:line="240" w:lineRule="auto"/>
        <w:ind w:right="282"/>
        <w:jc w:val="both"/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</w:pPr>
      <w:r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Nous considérons qu’un compartiment est saturé pour 6 périodes, soit environ 98 % du gradient théorique. </w:t>
      </w:r>
    </w:p>
    <w:p w:rsidR="00074C2E" w:rsidRPr="0076297C" w:rsidRDefault="00074C2E" w:rsidP="00074C2E">
      <w:pPr>
        <w:spacing w:after="0" w:line="240" w:lineRule="auto"/>
        <w:ind w:right="282"/>
        <w:jc w:val="both"/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</w:pPr>
      <w:r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>Pour la décharge nous repartons de la tension atteinte, et nous retournons à 0.8 b. Dans ce cas le gradient est</w:t>
      </w:r>
      <w:r w:rsidR="007A6D22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 </w:t>
      </w:r>
      <w:r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>inférieur à celui de la charge</w:t>
      </w:r>
      <w:r w:rsidR="000F5591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 </w:t>
      </w:r>
      <w:r w:rsidR="007A6D22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>(</w:t>
      </w:r>
      <w:r w:rsidR="000F5591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selon le compartiment, le gradient peut </w:t>
      </w:r>
      <w:r w:rsidR="007A6D22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même </w:t>
      </w:r>
      <w:r w:rsidR="000F5591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>être TRES</w:t>
      </w:r>
      <w:r w:rsidR="000F5591" w:rsidRPr="0076297C">
        <w:rPr>
          <w:rFonts w:ascii="Comic Sans MS" w:eastAsia="Times New Roman" w:hAnsi="Comic Sans MS" w:cs="Arial"/>
          <w:i/>
          <w:color w:val="0070C0"/>
          <w:sz w:val="16"/>
          <w:szCs w:val="16"/>
          <w:highlight w:val="yellow"/>
          <w:lang w:eastAsia="fr-FR"/>
        </w:rPr>
        <w:t xml:space="preserve"> </w:t>
      </w:r>
      <w:r w:rsidR="000F5591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>inférieur)</w:t>
      </w:r>
      <w:r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>. Dans la mesure où nous parcourons toujours la moitié du gradient pour un</w:t>
      </w:r>
      <w:r w:rsidR="000F5591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>e</w:t>
      </w:r>
      <w:r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 période, cela signifie que le gradient de pression par période dans le cas de la décharge est inférieur à celui parcouru dans le cas de la charge. Il faudra donc plus de temps pour décharger la quantité de gaz inerte dissous que pour la charger. (1pt)</w:t>
      </w:r>
    </w:p>
    <w:p w:rsidR="00074C2E" w:rsidRPr="0076297C" w:rsidRDefault="00074C2E" w:rsidP="00074C2E">
      <w:pPr>
        <w:spacing w:after="0" w:line="240" w:lineRule="auto"/>
        <w:ind w:right="282"/>
        <w:jc w:val="both"/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</w:pPr>
    </w:p>
    <w:p w:rsidR="00074C2E" w:rsidRPr="0076297C" w:rsidRDefault="00074C2E" w:rsidP="003F6D52">
      <w:pPr>
        <w:spacing w:after="0" w:line="240" w:lineRule="auto"/>
        <w:ind w:right="-143"/>
        <w:jc w:val="both"/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</w:pPr>
      <w:r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- Toute la quantité d’azote ne se trouve pas sous forme dissoute. Ce phénomène a été mis en évidence par les mesures doppler. Il y a toujours une quantité de gaz inerte circulante </w:t>
      </w:r>
      <w:r w:rsidR="000F5591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(sous forme gazeuse - </w:t>
      </w:r>
      <w:proofErr w:type="spellStart"/>
      <w:r w:rsidR="000F5591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>micronucleï</w:t>
      </w:r>
      <w:proofErr w:type="spellEnd"/>
      <w:r w:rsidR="000F5591"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 xml:space="preserve">) </w:t>
      </w:r>
      <w:r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>même si elle est minime par rapport à la quantité dissoute. (1pt)</w:t>
      </w:r>
    </w:p>
    <w:p w:rsidR="00074C2E" w:rsidRPr="0076297C" w:rsidRDefault="00074C2E" w:rsidP="00074C2E">
      <w:pPr>
        <w:spacing w:after="0" w:line="240" w:lineRule="auto"/>
        <w:ind w:right="282"/>
        <w:jc w:val="both"/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</w:pPr>
    </w:p>
    <w:p w:rsidR="00074C2E" w:rsidRPr="0076297C" w:rsidRDefault="00074C2E" w:rsidP="00074C2E">
      <w:pPr>
        <w:spacing w:after="0" w:line="240" w:lineRule="auto"/>
        <w:ind w:right="282"/>
        <w:jc w:val="both"/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</w:pPr>
      <w:r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>- L’apparition de bulle lors de la remontée n’est pas le signe d’une décompression non contrôlée.</w:t>
      </w:r>
    </w:p>
    <w:p w:rsidR="00AA0F2F" w:rsidRPr="003F6D52" w:rsidRDefault="00074C2E" w:rsidP="00A16749">
      <w:pPr>
        <w:spacing w:after="0" w:line="240" w:lineRule="auto"/>
        <w:ind w:right="282"/>
        <w:jc w:val="both"/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</w:pPr>
      <w:r w:rsidRPr="0076297C">
        <w:rPr>
          <w:rFonts w:ascii="Comic Sans MS" w:eastAsia="Times New Roman" w:hAnsi="Comic Sans MS" w:cs="Arial"/>
          <w:i/>
          <w:color w:val="0070C0"/>
          <w:sz w:val="16"/>
          <w:szCs w:val="16"/>
          <w:lang w:eastAsia="fr-FR"/>
        </w:rPr>
        <w:t>Nous savons aujourd’hui que c’est le volume de bulles circulante à la remontée que nous devons contrôler pour éviter un accident. C’est sur cette notion que sont basés les modèles dits à « bulles » initiés par la théorie VPM. (1pt)</w:t>
      </w:r>
    </w:p>
    <w:sectPr w:rsidR="00AA0F2F" w:rsidRPr="003F6D52" w:rsidSect="00085295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2398" w:rsidRDefault="00C22398" w:rsidP="00513A29">
      <w:pPr>
        <w:spacing w:after="0" w:line="240" w:lineRule="auto"/>
      </w:pPr>
      <w:r>
        <w:separator/>
      </w:r>
    </w:p>
  </w:endnote>
  <w:endnote w:type="continuationSeparator" w:id="0">
    <w:p w:rsidR="00C22398" w:rsidRDefault="00C22398" w:rsidP="00513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5295" w:rsidRDefault="00513A29" w:rsidP="0008529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74C2E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85295" w:rsidRDefault="000852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5295" w:rsidRDefault="00513A29" w:rsidP="0008529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74C2E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17249">
      <w:rPr>
        <w:rStyle w:val="Numrodepage"/>
        <w:noProof/>
      </w:rPr>
      <w:t>1</w:t>
    </w:r>
    <w:r>
      <w:rPr>
        <w:rStyle w:val="Numrodepage"/>
      </w:rPr>
      <w:fldChar w:fldCharType="end"/>
    </w:r>
  </w:p>
  <w:p w:rsidR="00085295" w:rsidRDefault="0008529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2398" w:rsidRDefault="00C22398" w:rsidP="00513A29">
      <w:pPr>
        <w:spacing w:after="0" w:line="240" w:lineRule="auto"/>
      </w:pPr>
      <w:r>
        <w:separator/>
      </w:r>
    </w:p>
  </w:footnote>
  <w:footnote w:type="continuationSeparator" w:id="0">
    <w:p w:rsidR="00C22398" w:rsidRDefault="00C22398" w:rsidP="00513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085295" w:rsidRPr="00CA1B79" w:rsidTr="00085295">
      <w:tc>
        <w:tcPr>
          <w:tcW w:w="4219" w:type="dxa"/>
          <w:shd w:val="clear" w:color="auto" w:fill="auto"/>
        </w:tcPr>
        <w:p w:rsidR="00085295" w:rsidRPr="00CA1B79" w:rsidRDefault="001904C0" w:rsidP="00085295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>
                <wp:extent cx="838200" cy="838200"/>
                <wp:effectExtent l="0" t="0" r="0" b="0"/>
                <wp:docPr id="1" name="Image 3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085295" w:rsidRPr="00CA1B79" w:rsidRDefault="00085295" w:rsidP="00085295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085295" w:rsidRPr="00D35E2B" w:rsidRDefault="00074C2E" w:rsidP="00D35E2B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CA1B79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CA1B79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CA1B79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085295" w:rsidRDefault="00085295" w:rsidP="00085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75F12"/>
    <w:multiLevelType w:val="hybridMultilevel"/>
    <w:tmpl w:val="6EECC50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E66FF"/>
    <w:multiLevelType w:val="hybridMultilevel"/>
    <w:tmpl w:val="D032C79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75048"/>
    <w:multiLevelType w:val="hybridMultilevel"/>
    <w:tmpl w:val="C50009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10E6D"/>
    <w:multiLevelType w:val="hybridMultilevel"/>
    <w:tmpl w:val="8AFC6282"/>
    <w:lvl w:ilvl="0" w:tplc="9006A6C0">
      <w:numFmt w:val="bullet"/>
      <w:lvlText w:val="-"/>
      <w:lvlJc w:val="left"/>
      <w:pPr>
        <w:ind w:left="644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1081A14"/>
    <w:multiLevelType w:val="hybridMultilevel"/>
    <w:tmpl w:val="D032C79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80263"/>
    <w:multiLevelType w:val="hybridMultilevel"/>
    <w:tmpl w:val="6EECC50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83FF0"/>
    <w:multiLevelType w:val="hybridMultilevel"/>
    <w:tmpl w:val="966428A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C3EA3"/>
    <w:multiLevelType w:val="hybridMultilevel"/>
    <w:tmpl w:val="142E8B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830E1"/>
    <w:multiLevelType w:val="hybridMultilevel"/>
    <w:tmpl w:val="142E8B2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146052">
    <w:abstractNumId w:val="3"/>
  </w:num>
  <w:num w:numId="2" w16cid:durableId="1127046190">
    <w:abstractNumId w:val="6"/>
  </w:num>
  <w:num w:numId="3" w16cid:durableId="227813297">
    <w:abstractNumId w:val="2"/>
  </w:num>
  <w:num w:numId="4" w16cid:durableId="1895120023">
    <w:abstractNumId w:val="8"/>
  </w:num>
  <w:num w:numId="5" w16cid:durableId="2136558922">
    <w:abstractNumId w:val="4"/>
  </w:num>
  <w:num w:numId="6" w16cid:durableId="2138258041">
    <w:abstractNumId w:val="5"/>
  </w:num>
  <w:num w:numId="7" w16cid:durableId="145124179">
    <w:abstractNumId w:val="0"/>
  </w:num>
  <w:num w:numId="8" w16cid:durableId="739060062">
    <w:abstractNumId w:val="7"/>
  </w:num>
  <w:num w:numId="9" w16cid:durableId="590742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C2E"/>
    <w:rsid w:val="00006A77"/>
    <w:rsid w:val="00074C2E"/>
    <w:rsid w:val="00085295"/>
    <w:rsid w:val="000D4243"/>
    <w:rsid w:val="000F0CE9"/>
    <w:rsid w:val="000F5591"/>
    <w:rsid w:val="001274DA"/>
    <w:rsid w:val="00172626"/>
    <w:rsid w:val="001870B1"/>
    <w:rsid w:val="001904C0"/>
    <w:rsid w:val="001D3AA2"/>
    <w:rsid w:val="001E0AE0"/>
    <w:rsid w:val="002C2827"/>
    <w:rsid w:val="003F6D52"/>
    <w:rsid w:val="00474860"/>
    <w:rsid w:val="00507DE9"/>
    <w:rsid w:val="00513A29"/>
    <w:rsid w:val="0052183E"/>
    <w:rsid w:val="00545E6C"/>
    <w:rsid w:val="005D6997"/>
    <w:rsid w:val="005F11E3"/>
    <w:rsid w:val="006A20DA"/>
    <w:rsid w:val="006C1A56"/>
    <w:rsid w:val="006D6297"/>
    <w:rsid w:val="0076297C"/>
    <w:rsid w:val="007850BF"/>
    <w:rsid w:val="007A6D22"/>
    <w:rsid w:val="007B46CF"/>
    <w:rsid w:val="008D110D"/>
    <w:rsid w:val="008E015C"/>
    <w:rsid w:val="00906504"/>
    <w:rsid w:val="00926971"/>
    <w:rsid w:val="00A16749"/>
    <w:rsid w:val="00A70CAF"/>
    <w:rsid w:val="00A7411B"/>
    <w:rsid w:val="00AA0F2F"/>
    <w:rsid w:val="00BC0D6B"/>
    <w:rsid w:val="00C13D71"/>
    <w:rsid w:val="00C22398"/>
    <w:rsid w:val="00C36D9A"/>
    <w:rsid w:val="00CA1B79"/>
    <w:rsid w:val="00D35E2B"/>
    <w:rsid w:val="00D92D17"/>
    <w:rsid w:val="00DC395D"/>
    <w:rsid w:val="00E006A4"/>
    <w:rsid w:val="00E040D7"/>
    <w:rsid w:val="00E64BAF"/>
    <w:rsid w:val="00E86459"/>
    <w:rsid w:val="00F03397"/>
    <w:rsid w:val="00F17249"/>
    <w:rsid w:val="00F25E3A"/>
    <w:rsid w:val="00F80EB4"/>
    <w:rsid w:val="00F8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238E3"/>
  <w15:docId w15:val="{5F57EE70-848C-5A40-8F6C-5781D73E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A29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74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4C2E"/>
  </w:style>
  <w:style w:type="paragraph" w:styleId="Pieddepage">
    <w:name w:val="footer"/>
    <w:basedOn w:val="Normal"/>
    <w:link w:val="PieddepageCar"/>
    <w:uiPriority w:val="99"/>
    <w:unhideWhenUsed/>
    <w:rsid w:val="00074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4C2E"/>
  </w:style>
  <w:style w:type="character" w:styleId="Numrodepage">
    <w:name w:val="page number"/>
    <w:rsid w:val="00074C2E"/>
  </w:style>
  <w:style w:type="paragraph" w:styleId="Textedebulles">
    <w:name w:val="Balloon Text"/>
    <w:basedOn w:val="Normal"/>
    <w:link w:val="TextedebullesCar"/>
    <w:uiPriority w:val="99"/>
    <w:semiHidden/>
    <w:unhideWhenUsed/>
    <w:rsid w:val="00CA1B7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A1B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07DE9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David</dc:creator>
  <cp:lastModifiedBy>Laurent MARCOUX</cp:lastModifiedBy>
  <cp:revision>2</cp:revision>
  <dcterms:created xsi:type="dcterms:W3CDTF">2024-12-15T12:26:00Z</dcterms:created>
  <dcterms:modified xsi:type="dcterms:W3CDTF">2024-12-15T12:26:00Z</dcterms:modified>
</cp:coreProperties>
</file>